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3"/>
      </w:tblGrid>
      <w:tr w:rsidR="006B7A04">
        <w:trPr>
          <w:cantSplit/>
          <w:trHeight w:hRule="exact" w:val="1304"/>
        </w:trPr>
        <w:tc>
          <w:tcPr>
            <w:tcW w:w="2827" w:type="dxa"/>
          </w:tcPr>
          <w:bookmarkStart w:id="0" w:name="OLE_LINK2"/>
          <w:p w:rsidR="006B7A04" w:rsidRDefault="00C15FBF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 w:rsidR="008056F8"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6B7A04" w:rsidRDefault="00977A62">
            <w:pPr>
              <w:pStyle w:val="Kopfzeile"/>
              <w:tabs>
                <w:tab w:val="clear" w:pos="4536"/>
              </w:tabs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5490" cy="830580"/>
                  <wp:effectExtent l="19050" t="0" r="381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6B7A04" w:rsidRDefault="006B7A04">
            <w:pPr>
              <w:rPr>
                <w:sz w:val="16"/>
              </w:rPr>
            </w:pPr>
          </w:p>
        </w:tc>
      </w:tr>
      <w:bookmarkEnd w:id="0"/>
      <w:tr w:rsidR="006B7A04">
        <w:trPr>
          <w:cantSplit/>
          <w:trHeight w:hRule="exact" w:val="284"/>
        </w:trPr>
        <w:tc>
          <w:tcPr>
            <w:tcW w:w="9639" w:type="dxa"/>
            <w:gridSpan w:val="3"/>
            <w:vAlign w:val="center"/>
          </w:tcPr>
          <w:p w:rsidR="006B7A04" w:rsidRDefault="000F0311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LANDGERICHT OFFENBURG</w:t>
            </w:r>
          </w:p>
        </w:tc>
      </w:tr>
      <w:tr w:rsidR="006B7A04">
        <w:trPr>
          <w:cantSplit/>
          <w:trHeight w:hRule="exact" w:val="284"/>
        </w:trPr>
        <w:tc>
          <w:tcPr>
            <w:tcW w:w="9639" w:type="dxa"/>
            <w:gridSpan w:val="3"/>
            <w:vAlign w:val="center"/>
          </w:tcPr>
          <w:p w:rsidR="006B7A04" w:rsidRDefault="00300B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PRESSESPRECHER</w:t>
            </w:r>
            <w:r w:rsidR="006D2F72">
              <w:rPr>
                <w:sz w:val="18"/>
              </w:rPr>
              <w:t>IN</w:t>
            </w:r>
          </w:p>
        </w:tc>
      </w:tr>
    </w:tbl>
    <w:p w:rsidR="006B7A04" w:rsidRDefault="006B7A04">
      <w:pPr>
        <w:rPr>
          <w:sz w:val="16"/>
        </w:rPr>
        <w:sectPr w:rsidR="006B7A04">
          <w:headerReference w:type="default" r:id="rId8"/>
          <w:footerReference w:type="first" r:id="rId9"/>
          <w:pgSz w:w="11907" w:h="16840" w:code="9"/>
          <w:pgMar w:top="624" w:right="1134" w:bottom="1701" w:left="1134" w:header="624" w:footer="709" w:gutter="0"/>
          <w:pgNumType w:start="1"/>
          <w:cols w:space="72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4564"/>
      </w:tblGrid>
      <w:tr w:rsidR="006B7A04">
        <w:trPr>
          <w:cantSplit/>
          <w:trHeight w:hRule="exact" w:val="1247"/>
        </w:trPr>
        <w:tc>
          <w:tcPr>
            <w:tcW w:w="9128" w:type="dxa"/>
            <w:gridSpan w:val="2"/>
          </w:tcPr>
          <w:p w:rsidR="006B7A04" w:rsidRDefault="006B7A04">
            <w:pPr>
              <w:rPr>
                <w:sz w:val="16"/>
              </w:rPr>
            </w:pPr>
          </w:p>
        </w:tc>
      </w:tr>
      <w:tr w:rsidR="006B7A04">
        <w:trPr>
          <w:cantSplit/>
        </w:trPr>
        <w:tc>
          <w:tcPr>
            <w:tcW w:w="4564" w:type="dxa"/>
            <w:vAlign w:val="bottom"/>
          </w:tcPr>
          <w:p w:rsidR="006B7A04" w:rsidRDefault="001D34AE">
            <w:pPr>
              <w:spacing w:line="320" w:lineRule="exact"/>
              <w:rPr>
                <w:sz w:val="29"/>
              </w:rPr>
            </w:pPr>
            <w:r>
              <w:rPr>
                <w:rFonts w:ascii="Arial Black" w:hAnsi="Arial Black"/>
                <w:sz w:val="29"/>
              </w:rPr>
              <w:t>MEDIENINFORMATION</w:t>
            </w:r>
          </w:p>
        </w:tc>
        <w:tc>
          <w:tcPr>
            <w:tcW w:w="4564" w:type="dxa"/>
            <w:vAlign w:val="bottom"/>
          </w:tcPr>
          <w:p w:rsidR="006B7A04" w:rsidRDefault="00B371D6">
            <w:pPr>
              <w:spacing w:line="240" w:lineRule="exact"/>
              <w:jc w:val="right"/>
            </w:pPr>
            <w:r>
              <w:fldChar w:fldCharType="begin"/>
            </w:r>
            <w:r>
              <w:instrText xml:space="preserve"> CREATEDATE \@ "d. MMMM yyyy" \* MERGEFORMAT </w:instrText>
            </w:r>
            <w:r>
              <w:fldChar w:fldCharType="separate"/>
            </w:r>
            <w:r w:rsidR="00144040">
              <w:rPr>
                <w:noProof/>
              </w:rPr>
              <w:t>16. November 2020</w:t>
            </w:r>
            <w:r>
              <w:rPr>
                <w:noProof/>
              </w:rPr>
              <w:fldChar w:fldCharType="end"/>
            </w:r>
          </w:p>
        </w:tc>
      </w:tr>
      <w:tr w:rsidR="006B7A04">
        <w:trPr>
          <w:cantSplit/>
        </w:trPr>
        <w:tc>
          <w:tcPr>
            <w:tcW w:w="9128" w:type="dxa"/>
            <w:gridSpan w:val="2"/>
            <w:vAlign w:val="bottom"/>
          </w:tcPr>
          <w:p w:rsidR="006B7A04" w:rsidRDefault="006B7A04" w:rsidP="001D34AE">
            <w:pPr>
              <w:spacing w:line="264" w:lineRule="auto"/>
              <w:rPr>
                <w:rFonts w:cs="Arial"/>
              </w:rPr>
            </w:pPr>
          </w:p>
        </w:tc>
      </w:tr>
      <w:tr w:rsidR="006B7A04">
        <w:trPr>
          <w:cantSplit/>
          <w:trHeight w:hRule="exact" w:val="737"/>
        </w:trPr>
        <w:tc>
          <w:tcPr>
            <w:tcW w:w="9128" w:type="dxa"/>
            <w:gridSpan w:val="2"/>
            <w:vAlign w:val="bottom"/>
          </w:tcPr>
          <w:p w:rsidR="006B7A04" w:rsidRDefault="006B7A04">
            <w:pPr>
              <w:spacing w:line="264" w:lineRule="auto"/>
              <w:rPr>
                <w:rFonts w:cs="Arial"/>
              </w:rPr>
            </w:pPr>
            <w:r>
              <w:rPr>
                <w:rFonts w:ascii="Arial Black" w:hAnsi="Arial Black" w:cs="Arial"/>
              </w:rPr>
              <w:t>Sperrfrist: keine</w:t>
            </w:r>
          </w:p>
        </w:tc>
      </w:tr>
    </w:tbl>
    <w:p w:rsidR="006B7A04" w:rsidRDefault="006B7A04"/>
    <w:tbl>
      <w:tblPr>
        <w:tblW w:w="912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8618"/>
      </w:tblGrid>
      <w:tr w:rsidR="006B7A04" w:rsidTr="00B371D6">
        <w:trPr>
          <w:cantSplit/>
        </w:trPr>
        <w:tc>
          <w:tcPr>
            <w:tcW w:w="510" w:type="dxa"/>
          </w:tcPr>
          <w:p w:rsidR="006B7A04" w:rsidRDefault="00977A62">
            <w:pPr>
              <w:spacing w:line="260" w:lineRule="exac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AE2B158" wp14:editId="55BA53A9">
                  <wp:extent cx="270510" cy="116205"/>
                  <wp:effectExtent l="19050" t="0" r="0" b="0"/>
                  <wp:docPr id="2" name="Bild 2" descr="BW_Loewe_rec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_Loewe_rec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vAlign w:val="bottom"/>
          </w:tcPr>
          <w:p w:rsidR="006B7A04" w:rsidRDefault="00144040" w:rsidP="00CE4896">
            <w:pPr>
              <w:spacing w:line="260" w:lineRule="exac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Unerlaubte Einfuhr von Betäubungsmitteln</w:t>
            </w:r>
          </w:p>
        </w:tc>
      </w:tr>
    </w:tbl>
    <w:p w:rsidR="006B7A04" w:rsidRDefault="006B7A04">
      <w:pPr>
        <w:sectPr w:rsidR="006B7A04">
          <w:type w:val="continuous"/>
          <w:pgSz w:w="11907" w:h="16840" w:code="9"/>
          <w:pgMar w:top="624" w:right="1644" w:bottom="1701" w:left="1134" w:header="624" w:footer="709" w:gutter="0"/>
          <w:pgNumType w:start="1"/>
          <w:cols w:space="720"/>
          <w:titlePg/>
        </w:sectPr>
      </w:pPr>
    </w:p>
    <w:p w:rsidR="006B7A04" w:rsidRDefault="006B7A04">
      <w:pPr>
        <w:spacing w:line="360" w:lineRule="atLeas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6"/>
        <w:gridCol w:w="7073"/>
      </w:tblGrid>
      <w:tr w:rsidR="008458D1" w:rsidTr="00B26210">
        <w:tc>
          <w:tcPr>
            <w:tcW w:w="1526" w:type="dxa"/>
            <w:shd w:val="clear" w:color="auto" w:fill="D9D9D9" w:themeFill="background1" w:themeFillShade="D9"/>
          </w:tcPr>
          <w:p w:rsidR="008458D1" w:rsidRPr="008458D1" w:rsidRDefault="008458D1">
            <w:pPr>
              <w:spacing w:line="360" w:lineRule="atLeast"/>
              <w:rPr>
                <w:b/>
              </w:rPr>
            </w:pPr>
            <w:r>
              <w:rPr>
                <w:b/>
              </w:rPr>
              <w:t>Termine:</w:t>
            </w:r>
          </w:p>
        </w:tc>
        <w:tc>
          <w:tcPr>
            <w:tcW w:w="7233" w:type="dxa"/>
          </w:tcPr>
          <w:p w:rsidR="00B26210" w:rsidRDefault="00144040">
            <w:pPr>
              <w:spacing w:line="360" w:lineRule="atLeast"/>
            </w:pPr>
            <w:r>
              <w:t>Freitag, 20.11.2020, 9:00 Uhr, Saal 1 (Moltkestr. 38)</w:t>
            </w:r>
          </w:p>
          <w:p w:rsidR="00144040" w:rsidRDefault="00144040">
            <w:pPr>
              <w:spacing w:line="360" w:lineRule="atLeast"/>
            </w:pPr>
            <w:r>
              <w:t>Donnerstag, 03.12.2020, 9:00 Uhr, Saal 2 (Moltkestr. 38)</w:t>
            </w:r>
          </w:p>
          <w:p w:rsidR="00B26210" w:rsidRDefault="00B26210" w:rsidP="00B26210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B26210" w:rsidRDefault="00B26210" w:rsidP="00B26210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B26210" w:rsidRDefault="00B26210" w:rsidP="00B26210">
            <w:pPr>
              <w:pStyle w:val="Default"/>
              <w:spacing w:after="120"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Bitte beachten Sie, dass diese Termine nur vorläufig bestimmt sind und sich durch Verfügung des Vorsitzenden jederzeit wieder ändern können. </w:t>
            </w:r>
          </w:p>
          <w:p w:rsidR="00B26210" w:rsidRDefault="00B26210" w:rsidP="00B26210">
            <w:pPr>
              <w:spacing w:after="120" w:line="276" w:lineRule="auto"/>
            </w:pPr>
            <w:r>
              <w:rPr>
                <w:i/>
                <w:iCs/>
                <w:sz w:val="16"/>
                <w:szCs w:val="16"/>
              </w:rPr>
              <w:t xml:space="preserve">Aus organisatorischen Gründen werden die in dieser Medieninformation mitgeteilten Termine während des Laufs eines Verfahrens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nicht </w:t>
            </w:r>
            <w:r>
              <w:rPr>
                <w:i/>
                <w:iCs/>
                <w:sz w:val="16"/>
                <w:szCs w:val="16"/>
              </w:rPr>
              <w:t>aktualisiert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8458D1" w:rsidTr="00B26210">
        <w:tc>
          <w:tcPr>
            <w:tcW w:w="1526" w:type="dxa"/>
            <w:shd w:val="clear" w:color="auto" w:fill="D9D9D9" w:themeFill="background1" w:themeFillShade="D9"/>
          </w:tcPr>
          <w:p w:rsidR="008458D1" w:rsidRPr="00B26210" w:rsidRDefault="00B26210">
            <w:pPr>
              <w:spacing w:line="360" w:lineRule="atLeast"/>
              <w:rPr>
                <w:b/>
              </w:rPr>
            </w:pPr>
            <w:r w:rsidRPr="00B26210">
              <w:rPr>
                <w:b/>
              </w:rPr>
              <w:t>Angekl.:</w:t>
            </w:r>
          </w:p>
        </w:tc>
        <w:tc>
          <w:tcPr>
            <w:tcW w:w="7233" w:type="dxa"/>
          </w:tcPr>
          <w:p w:rsidR="00B26210" w:rsidRDefault="00144040">
            <w:pPr>
              <w:spacing w:line="360" w:lineRule="atLeast"/>
            </w:pPr>
            <w:r>
              <w:t>V. 35 Jahre (m) / S. 26 Jahre (w)</w:t>
            </w:r>
          </w:p>
        </w:tc>
      </w:tr>
      <w:tr w:rsidR="008458D1" w:rsidTr="00B26210">
        <w:tc>
          <w:tcPr>
            <w:tcW w:w="1526" w:type="dxa"/>
            <w:shd w:val="clear" w:color="auto" w:fill="D9D9D9" w:themeFill="background1" w:themeFillShade="D9"/>
          </w:tcPr>
          <w:p w:rsidR="008458D1" w:rsidRPr="00B26210" w:rsidRDefault="00B26210">
            <w:pPr>
              <w:spacing w:line="360" w:lineRule="atLeast"/>
              <w:rPr>
                <w:b/>
              </w:rPr>
            </w:pPr>
            <w:r w:rsidRPr="00B26210">
              <w:rPr>
                <w:b/>
              </w:rPr>
              <w:t>Tatvorwurf:</w:t>
            </w:r>
          </w:p>
        </w:tc>
        <w:tc>
          <w:tcPr>
            <w:tcW w:w="7233" w:type="dxa"/>
          </w:tcPr>
          <w:p w:rsidR="008458D1" w:rsidRDefault="00144040">
            <w:pPr>
              <w:spacing w:line="360" w:lineRule="atLeast"/>
            </w:pPr>
            <w:r>
              <w:t>Unerlaubte Einfuhr von Betäubungsmittel</w:t>
            </w:r>
          </w:p>
        </w:tc>
      </w:tr>
      <w:tr w:rsidR="00B26210" w:rsidTr="00B26210">
        <w:tc>
          <w:tcPr>
            <w:tcW w:w="1526" w:type="dxa"/>
            <w:shd w:val="clear" w:color="auto" w:fill="D9D9D9" w:themeFill="background1" w:themeFillShade="D9"/>
          </w:tcPr>
          <w:p w:rsidR="00B26210" w:rsidRPr="00B26210" w:rsidRDefault="00B26210">
            <w:pPr>
              <w:spacing w:line="360" w:lineRule="atLeast"/>
              <w:rPr>
                <w:b/>
              </w:rPr>
            </w:pPr>
            <w:r>
              <w:rPr>
                <w:b/>
              </w:rPr>
              <w:t>Tatort:</w:t>
            </w:r>
          </w:p>
        </w:tc>
        <w:tc>
          <w:tcPr>
            <w:tcW w:w="7233" w:type="dxa"/>
          </w:tcPr>
          <w:p w:rsidR="00B26210" w:rsidRDefault="00144040">
            <w:pPr>
              <w:spacing w:line="360" w:lineRule="atLeast"/>
            </w:pPr>
            <w:r>
              <w:t>Grenzübergang Kehl / Straßburg</w:t>
            </w:r>
          </w:p>
        </w:tc>
      </w:tr>
      <w:tr w:rsidR="008458D1" w:rsidTr="00B26210">
        <w:tc>
          <w:tcPr>
            <w:tcW w:w="1526" w:type="dxa"/>
            <w:shd w:val="clear" w:color="auto" w:fill="D9D9D9" w:themeFill="background1" w:themeFillShade="D9"/>
          </w:tcPr>
          <w:p w:rsidR="008458D1" w:rsidRPr="00B26210" w:rsidRDefault="00B26210">
            <w:pPr>
              <w:spacing w:line="360" w:lineRule="atLeast"/>
              <w:rPr>
                <w:b/>
              </w:rPr>
            </w:pPr>
            <w:r w:rsidRPr="00B26210">
              <w:rPr>
                <w:b/>
              </w:rPr>
              <w:t>Az.:</w:t>
            </w:r>
          </w:p>
        </w:tc>
        <w:tc>
          <w:tcPr>
            <w:tcW w:w="7233" w:type="dxa"/>
          </w:tcPr>
          <w:p w:rsidR="008458D1" w:rsidRDefault="00144040">
            <w:pPr>
              <w:spacing w:line="360" w:lineRule="atLeast"/>
            </w:pPr>
            <w:r>
              <w:t xml:space="preserve">1 KLs 303 </w:t>
            </w:r>
            <w:proofErr w:type="spellStart"/>
            <w:r>
              <w:t>Js</w:t>
            </w:r>
            <w:proofErr w:type="spellEnd"/>
            <w:r>
              <w:t xml:space="preserve"> 8594/20</w:t>
            </w:r>
          </w:p>
        </w:tc>
      </w:tr>
    </w:tbl>
    <w:p w:rsidR="008458D1" w:rsidRDefault="008458D1">
      <w:pPr>
        <w:spacing w:line="360" w:lineRule="atLeast"/>
      </w:pPr>
    </w:p>
    <w:p w:rsidR="008249BB" w:rsidRDefault="00144040">
      <w:pPr>
        <w:spacing w:line="360" w:lineRule="atLeast"/>
        <w:jc w:val="both"/>
      </w:pPr>
      <w:r>
        <w:t>Die 1. Große Strafkammer verhandelt über die Anklageschrift der Staatsanwaltschaft Offenburg betreffend zwei in Berlin wohnhafte Angeklagte.</w:t>
      </w:r>
    </w:p>
    <w:p w:rsidR="00144040" w:rsidRDefault="00144040">
      <w:pPr>
        <w:spacing w:line="360" w:lineRule="atLeast"/>
        <w:jc w:val="both"/>
      </w:pPr>
    </w:p>
    <w:p w:rsidR="00144040" w:rsidRDefault="00144040">
      <w:pPr>
        <w:spacing w:line="360" w:lineRule="atLeast"/>
        <w:jc w:val="both"/>
      </w:pPr>
      <w:r>
        <w:t>Diese sollen am</w:t>
      </w:r>
      <w:r w:rsidR="00731A2B">
        <w:t xml:space="preserve"> späten Nachmittag des</w:t>
      </w:r>
      <w:r>
        <w:t xml:space="preserve"> 29.05.2020 mit dem Zug von Kehl n</w:t>
      </w:r>
      <w:r w:rsidR="00162F84">
        <w:t xml:space="preserve">ach Straßburg gefahren sein und </w:t>
      </w:r>
      <w:r>
        <w:t xml:space="preserve">dort 8753 </w:t>
      </w:r>
      <w:proofErr w:type="spellStart"/>
      <w:r>
        <w:t>Subutextabletten</w:t>
      </w:r>
      <w:proofErr w:type="spellEnd"/>
      <w:r>
        <w:t xml:space="preserve"> (Wirkstoffgehalt</w:t>
      </w:r>
      <w:r w:rsidR="008730A5">
        <w:t>: jeweils</w:t>
      </w:r>
      <w:r>
        <w:t xml:space="preserve"> 8mg </w:t>
      </w:r>
      <w:proofErr w:type="spellStart"/>
      <w:r>
        <w:t>Buprenorphin</w:t>
      </w:r>
      <w:proofErr w:type="spellEnd"/>
      <w:r>
        <w:t xml:space="preserve">) erworben haben. </w:t>
      </w:r>
      <w:r w:rsidR="00162F84">
        <w:t xml:space="preserve">Zum Zeitpunkt der Tat bestanden weiterhin Grenzkontrollen aufgrund der Corona-Pandemie. </w:t>
      </w:r>
      <w:r>
        <w:t xml:space="preserve">Auf der Rückfahrt </w:t>
      </w:r>
      <w:r w:rsidR="00162F84">
        <w:t>wurde</w:t>
      </w:r>
      <w:r>
        <w:t xml:space="preserve"> ein Koffer mit eben diesen </w:t>
      </w:r>
      <w:proofErr w:type="spellStart"/>
      <w:r>
        <w:t>Subutextabletten</w:t>
      </w:r>
      <w:proofErr w:type="spellEnd"/>
      <w:r>
        <w:t xml:space="preserve"> durch</w:t>
      </w:r>
      <w:r w:rsidR="00162F84">
        <w:t xml:space="preserve"> Beamte der Bundespolizei in der Koffera</w:t>
      </w:r>
      <w:r>
        <w:t>blage über den Sitzen der beiden Angeklagten aufgefunden</w:t>
      </w:r>
      <w:r w:rsidR="006D45F3">
        <w:t>. Die Angeklagten wurden in der Folge festgenommen.</w:t>
      </w:r>
      <w:r>
        <w:t xml:space="preserve"> </w:t>
      </w:r>
      <w:r w:rsidR="006D45F3">
        <w:t>Sie</w:t>
      </w:r>
      <w:r>
        <w:t xml:space="preserve"> sollen zudem noch wenige Gramm Amphetamin und Marihuana bei sich geführt haben. </w:t>
      </w:r>
    </w:p>
    <w:p w:rsidR="00731A2B" w:rsidRDefault="00144040">
      <w:pPr>
        <w:spacing w:line="360" w:lineRule="atLeast"/>
        <w:jc w:val="both"/>
      </w:pPr>
      <w:r>
        <w:lastRenderedPageBreak/>
        <w:t>Die Angeklagte</w:t>
      </w:r>
      <w:r w:rsidR="006D45F3">
        <w:t xml:space="preserve"> S.</w:t>
      </w:r>
      <w:r>
        <w:t xml:space="preserve"> ist mehrfach vorbestraft. </w:t>
      </w:r>
      <w:r w:rsidR="00162F84">
        <w:t xml:space="preserve">Der Angeklagte </w:t>
      </w:r>
      <w:r w:rsidR="006D45F3">
        <w:t xml:space="preserve">V. </w:t>
      </w:r>
      <w:r w:rsidR="00162F84">
        <w:t xml:space="preserve">wurde Anfang der 2000er in Berlin zwei Mal verurteilt. </w:t>
      </w:r>
      <w:r>
        <w:t xml:space="preserve">Die beiden Angeklagten befinden sich seit dem Tatzeitpunkt in Haft. Bislang haben </w:t>
      </w:r>
      <w:r w:rsidR="006D45F3">
        <w:t xml:space="preserve">sie </w:t>
      </w:r>
      <w:r>
        <w:t xml:space="preserve">sich </w:t>
      </w:r>
      <w:r w:rsidR="006D45F3">
        <w:t>nicht zu dem Vorwurf</w:t>
      </w:r>
      <w:r>
        <w:t xml:space="preserve"> geäußert. Die Staatsanwaltschaft Offenburg geht jedoch davon aus, dass die be</w:t>
      </w:r>
      <w:r w:rsidR="00731A2B">
        <w:t>iden Angeklagten durch die Aussagen der ermittelnden Polizeibeamten überführt werden können. Diese werden am späten Vormittag des ersten Verhandlungstags gehört. Die Kamme</w:t>
      </w:r>
      <w:r w:rsidR="00D14FD3">
        <w:t>r hat</w:t>
      </w:r>
      <w:r w:rsidR="00731A2B">
        <w:t xml:space="preserve"> </w:t>
      </w:r>
      <w:r w:rsidR="006D45F3">
        <w:t>zudem</w:t>
      </w:r>
      <w:r w:rsidR="00731A2B">
        <w:t xml:space="preserve"> eine Sachverständige des Zentrums für Psychiatrie E</w:t>
      </w:r>
      <w:r w:rsidR="008730A5">
        <w:t>mmendingen hinzugezogen, um die Voraussetzungen einer</w:t>
      </w:r>
      <w:r w:rsidR="00731A2B">
        <w:t xml:space="preserve"> Unterbringung in</w:t>
      </w:r>
      <w:r w:rsidR="008730A5">
        <w:t xml:space="preserve"> einer Entziehungsanstalt zu klären</w:t>
      </w:r>
      <w:r w:rsidR="00731A2B">
        <w:t>.</w:t>
      </w:r>
    </w:p>
    <w:p w:rsidR="00300BE3" w:rsidRDefault="00300BE3">
      <w:pPr>
        <w:spacing w:line="360" w:lineRule="atLeast"/>
        <w:jc w:val="both"/>
      </w:pPr>
    </w:p>
    <w:p w:rsidR="008458D1" w:rsidRDefault="008458D1">
      <w:pPr>
        <w:spacing w:line="360" w:lineRule="atLeast"/>
        <w:jc w:val="both"/>
      </w:pPr>
    </w:p>
    <w:p w:rsidR="00300BE3" w:rsidRDefault="00B371D6">
      <w:pPr>
        <w:spacing w:line="360" w:lineRule="atLeast"/>
        <w:jc w:val="both"/>
      </w:pPr>
      <w:r>
        <w:t xml:space="preserve">gez. </w:t>
      </w:r>
      <w:r w:rsidR="006D2F72">
        <w:t>Eva Weckert</w:t>
      </w:r>
    </w:p>
    <w:p w:rsidR="00B371D6" w:rsidRDefault="000E142B">
      <w:pPr>
        <w:spacing w:line="360" w:lineRule="atLeast"/>
        <w:jc w:val="both"/>
      </w:pPr>
      <w:r>
        <w:t>Richter</w:t>
      </w:r>
      <w:r w:rsidR="006D2F72">
        <w:t>in</w:t>
      </w:r>
      <w:r>
        <w:t xml:space="preserve"> am Landgericht</w:t>
      </w:r>
    </w:p>
    <w:p w:rsidR="00D14FD3" w:rsidRDefault="00D14FD3">
      <w:pPr>
        <w:spacing w:line="360" w:lineRule="atLeast"/>
        <w:jc w:val="both"/>
      </w:pPr>
    </w:p>
    <w:p w:rsidR="00731A2B" w:rsidRDefault="00731A2B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155575</wp:posOffset>
                </wp:positionV>
                <wp:extent cx="5096510" cy="2043430"/>
                <wp:effectExtent l="0" t="0" r="2794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A2B" w:rsidRDefault="00731A2B" w:rsidP="006D45F3">
                            <w:pPr>
                              <w:jc w:val="both"/>
                            </w:pPr>
                            <w:proofErr w:type="spellStart"/>
                            <w:r>
                              <w:t>Subutex</w:t>
                            </w:r>
                            <w:proofErr w:type="spellEnd"/>
                            <w:r>
                              <w:t xml:space="preserve"> basiert auf dem Wirkstoff </w:t>
                            </w:r>
                            <w:proofErr w:type="spellStart"/>
                            <w:r>
                              <w:t>Buprenorphin</w:t>
                            </w:r>
                            <w:proofErr w:type="spellEnd"/>
                            <w:r>
                              <w:t xml:space="preserve"> und zählt zu</w:t>
                            </w:r>
                            <w:r w:rsidR="006D45F3">
                              <w:t xml:space="preserve">r Gruppe der </w:t>
                            </w:r>
                            <w:r>
                              <w:t>Opia</w:t>
                            </w:r>
                            <w:r w:rsidR="008730A5">
                              <w:t>te</w:t>
                            </w:r>
                            <w:r w:rsidR="00D14FD3">
                              <w:t xml:space="preserve">. Es handelt sich um ein stark wirkendes Schmerzmittel. </w:t>
                            </w:r>
                            <w:proofErr w:type="spellStart"/>
                            <w:r w:rsidR="00D14FD3">
                              <w:t>Subutex</w:t>
                            </w:r>
                            <w:proofErr w:type="spellEnd"/>
                            <w:r w:rsidR="00D14FD3">
                              <w:t xml:space="preserve"> </w:t>
                            </w:r>
                            <w:r>
                              <w:t xml:space="preserve">kommt nicht wie andere Opiate natürlich in der Mohnpflanzte vor, sondern wird chemisch hergestellt. </w:t>
                            </w:r>
                          </w:p>
                          <w:p w:rsidR="00D14FD3" w:rsidRDefault="00D14FD3"/>
                          <w:p w:rsidR="00D14FD3" w:rsidRDefault="00731A2B" w:rsidP="006D45F3">
                            <w:pPr>
                              <w:jc w:val="both"/>
                            </w:pPr>
                            <w:r>
                              <w:t>Es wird im Rahmen von Substitutionsprogrammen (Heroin) eingesetzt und soll der Drogensucht entgegenwirken.</w:t>
                            </w:r>
                            <w:r w:rsidR="00D14FD3">
                              <w:t xml:space="preserve"> </w:t>
                            </w:r>
                            <w:proofErr w:type="spellStart"/>
                            <w:r w:rsidR="00D14FD3">
                              <w:t>Subutex</w:t>
                            </w:r>
                            <w:proofErr w:type="spellEnd"/>
                            <w:r>
                              <w:t xml:space="preserve"> ist jedoch auch unter Konsumenten beliebt, da für das eigentliche Rauschempfinden nach der Einnahme von </w:t>
                            </w:r>
                            <w:proofErr w:type="spellStart"/>
                            <w:r>
                              <w:t>Subutex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14FD3">
                              <w:t>in Verbindung mit einem weiteren K</w:t>
                            </w:r>
                            <w:r>
                              <w:t xml:space="preserve">onsummittel </w:t>
                            </w:r>
                            <w:r w:rsidR="00D14FD3">
                              <w:t xml:space="preserve">wie Heroin eine Potenzierung der </w:t>
                            </w:r>
                            <w:r>
                              <w:t xml:space="preserve">Wirkung </w:t>
                            </w:r>
                            <w:r w:rsidR="00D14FD3">
                              <w:t>stattfinden kann</w:t>
                            </w:r>
                            <w:r>
                              <w:t xml:space="preserve">. </w:t>
                            </w:r>
                          </w:p>
                          <w:p w:rsidR="00731A2B" w:rsidRDefault="00731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pt;margin-top:12.25pt;width:401.3pt;height:1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28Jg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">
                <v:textbox>
                  <w:txbxContent>
                    <w:p w:rsidR="00731A2B" w:rsidRDefault="00731A2B" w:rsidP="006D45F3">
                      <w:pPr>
                        <w:jc w:val="both"/>
                      </w:pPr>
                      <w:proofErr w:type="spellStart"/>
                      <w:r>
                        <w:t>Subutex</w:t>
                      </w:r>
                      <w:proofErr w:type="spellEnd"/>
                      <w:r>
                        <w:t xml:space="preserve"> basiert auf dem Wirkstoff </w:t>
                      </w:r>
                      <w:proofErr w:type="spellStart"/>
                      <w:r>
                        <w:t>Buprenorphin</w:t>
                      </w:r>
                      <w:proofErr w:type="spellEnd"/>
                      <w:r>
                        <w:t xml:space="preserve"> und zählt zu</w:t>
                      </w:r>
                      <w:r w:rsidR="006D45F3">
                        <w:t xml:space="preserve">r Gruppe der </w:t>
                      </w:r>
                      <w:r>
                        <w:t>Opia</w:t>
                      </w:r>
                      <w:r w:rsidR="008730A5">
                        <w:t>te</w:t>
                      </w:r>
                      <w:r w:rsidR="00D14FD3">
                        <w:t xml:space="preserve">. Es handelt sich um ein stark wirkendes Schmerzmittel. </w:t>
                      </w:r>
                      <w:proofErr w:type="spellStart"/>
                      <w:r w:rsidR="00D14FD3">
                        <w:t>Subutex</w:t>
                      </w:r>
                      <w:proofErr w:type="spellEnd"/>
                      <w:r w:rsidR="00D14FD3">
                        <w:t xml:space="preserve"> </w:t>
                      </w:r>
                      <w:r>
                        <w:t xml:space="preserve">kommt nicht wie andere Opiate natürlich in der Mohnpflanzte vor, sondern wird chemisch hergestellt. </w:t>
                      </w:r>
                    </w:p>
                    <w:p w:rsidR="00D14FD3" w:rsidRDefault="00D14FD3"/>
                    <w:p w:rsidR="00D14FD3" w:rsidRDefault="00731A2B" w:rsidP="006D45F3">
                      <w:pPr>
                        <w:jc w:val="both"/>
                      </w:pPr>
                      <w:r>
                        <w:t>Es wird im Rahmen von Substitutionsprogrammen (Heroin) eingesetzt und soll der Drogensucht entgegenwirken.</w:t>
                      </w:r>
                      <w:r w:rsidR="00D14FD3">
                        <w:t xml:space="preserve"> </w:t>
                      </w:r>
                      <w:proofErr w:type="spellStart"/>
                      <w:r w:rsidR="00D14FD3">
                        <w:t>Subutex</w:t>
                      </w:r>
                      <w:proofErr w:type="spellEnd"/>
                      <w:r>
                        <w:t xml:space="preserve"> ist jedoch auch unter Konsumenten beliebt, da für das eigentliche Rauschempfinden nach der Einnahme von </w:t>
                      </w:r>
                      <w:proofErr w:type="spellStart"/>
                      <w:r>
                        <w:t>Subutex</w:t>
                      </w:r>
                      <w:proofErr w:type="spellEnd"/>
                      <w:r>
                        <w:t xml:space="preserve"> </w:t>
                      </w:r>
                      <w:r w:rsidR="00D14FD3">
                        <w:t>in Verbindung mit einem weiteren K</w:t>
                      </w:r>
                      <w:r>
                        <w:t xml:space="preserve">onsummittel </w:t>
                      </w:r>
                      <w:r w:rsidR="00D14FD3">
                        <w:t xml:space="preserve">wie Heroin eine Potenzierung der </w:t>
                      </w:r>
                      <w:r>
                        <w:t xml:space="preserve">Wirkung </w:t>
                      </w:r>
                      <w:r w:rsidR="00D14FD3">
                        <w:t>stattfinden kann</w:t>
                      </w:r>
                      <w:r>
                        <w:t xml:space="preserve">. </w:t>
                      </w:r>
                    </w:p>
                    <w:p w:rsidR="00731A2B" w:rsidRDefault="00731A2B"/>
                  </w:txbxContent>
                </v:textbox>
                <w10:wrap type="square" anchorx="margin"/>
              </v:shape>
            </w:pict>
          </mc:Fallback>
        </mc:AlternateContent>
      </w:r>
    </w:p>
    <w:p w:rsidR="00731A2B" w:rsidRDefault="00731A2B">
      <w:pPr>
        <w:spacing w:line="360" w:lineRule="atLeast"/>
        <w:jc w:val="both"/>
      </w:pPr>
    </w:p>
    <w:p w:rsidR="00731A2B" w:rsidRDefault="00731A2B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</w:p>
    <w:p w:rsidR="00D14FD3" w:rsidRDefault="00D14FD3">
      <w:pPr>
        <w:spacing w:line="360" w:lineRule="atLeast"/>
        <w:jc w:val="both"/>
      </w:pPr>
      <w:bookmarkStart w:id="2" w:name="_GoBack"/>
      <w:bookmarkEnd w:id="2"/>
    </w:p>
    <w:p w:rsidR="007C22DA" w:rsidRDefault="007C22DA">
      <w:pPr>
        <w:spacing w:line="360" w:lineRule="atLeast"/>
        <w:jc w:val="both"/>
      </w:pPr>
      <w:r>
        <w:t>Rückfragen bitte unter pressestelle@lgoffenburg.justiz.bwl.de</w:t>
      </w:r>
    </w:p>
    <w:sectPr w:rsidR="007C22DA" w:rsidSect="002C485A">
      <w:headerReference w:type="default" r:id="rId11"/>
      <w:type w:val="continuous"/>
      <w:pgSz w:w="11907" w:h="16840" w:code="9"/>
      <w:pgMar w:top="1814" w:right="1644" w:bottom="1701" w:left="1644" w:header="737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40" w:rsidRDefault="00144040">
      <w:r>
        <w:separator/>
      </w:r>
    </w:p>
  </w:endnote>
  <w:endnote w:type="continuationSeparator" w:id="0">
    <w:p w:rsidR="00144040" w:rsidRDefault="001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D6" w:rsidRDefault="00B371D6" w:rsidP="00B371D6">
    <w:pPr>
      <w:pStyle w:val="Fuzeile"/>
    </w:pPr>
    <w:r>
      <w:t xml:space="preserve">Hindenburgstraße 5 </w:t>
    </w:r>
    <w:r w:rsidRPr="00A769BC">
      <w:rPr>
        <w:szCs w:val="16"/>
      </w:rPr>
      <w:t>▪</w:t>
    </w:r>
    <w:r>
      <w:t xml:space="preserve"> </w:t>
    </w:r>
    <w:bookmarkStart w:id="1" w:name="OLE_LINK1"/>
    <w:r>
      <w:t xml:space="preserve">77654 Offenburg </w:t>
    </w:r>
    <w:r w:rsidRPr="00A769BC">
      <w:rPr>
        <w:szCs w:val="16"/>
      </w:rPr>
      <w:t>▪</w:t>
    </w:r>
    <w:r>
      <w:t xml:space="preserve"> </w:t>
    </w:r>
    <w:bookmarkEnd w:id="1"/>
    <w:r>
      <w:t>Telefon 0781 933-</w:t>
    </w:r>
    <w:r w:rsidR="006D2F72">
      <w:t>0</w:t>
    </w:r>
    <w:r w:rsidR="00A734A1">
      <w:t xml:space="preserve"> </w:t>
    </w:r>
    <w:r w:rsidRPr="00A769BC">
      <w:rPr>
        <w:szCs w:val="16"/>
      </w:rPr>
      <w:t>▪</w:t>
    </w:r>
    <w:r>
      <w:t xml:space="preserve"> Telefax 0781 933-1180 </w:t>
    </w:r>
    <w:r>
      <w:br/>
    </w:r>
    <w:r w:rsidR="00A734A1">
      <w:t>p</w:t>
    </w:r>
    <w:r w:rsidR="007C22DA">
      <w:t>ressestelle</w:t>
    </w:r>
    <w:r w:rsidR="00A734A1">
      <w:t xml:space="preserve">@lgoffenburg.bwl.de </w:t>
    </w:r>
    <w:r w:rsidR="00A734A1" w:rsidRPr="00A769BC">
      <w:rPr>
        <w:szCs w:val="16"/>
      </w:rPr>
      <w:t>▪</w:t>
    </w:r>
    <w:r w:rsidR="00A734A1">
      <w:t xml:space="preserve"> w</w:t>
    </w:r>
    <w:r w:rsidRPr="000F4AC4">
      <w:t>ww.</w:t>
    </w:r>
    <w:r>
      <w:t>lg-offenburg</w:t>
    </w:r>
    <w:r w:rsidRPr="000F4AC4">
      <w:t>.de</w:t>
    </w:r>
    <w:r>
      <w:t xml:space="preserve"> </w:t>
    </w:r>
    <w:r w:rsidRPr="00A769BC">
      <w:rPr>
        <w:szCs w:val="16"/>
      </w:rPr>
      <w:t>▪</w:t>
    </w:r>
    <w:r>
      <w:t xml:space="preserve"> www.service-bw.de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40" w:rsidRDefault="00144040">
      <w:r>
        <w:separator/>
      </w:r>
    </w:p>
  </w:footnote>
  <w:footnote w:type="continuationSeparator" w:id="0">
    <w:p w:rsidR="00144040" w:rsidRDefault="0014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22" w:rsidRDefault="0078442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 w:rsidR="00C15FB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15FBF">
      <w:rPr>
        <w:rStyle w:val="Seitenzahl"/>
      </w:rPr>
      <w:fldChar w:fldCharType="separate"/>
    </w:r>
    <w:r w:rsidR="00602A92">
      <w:rPr>
        <w:rStyle w:val="Seitenzahl"/>
        <w:noProof/>
      </w:rPr>
      <w:t>2</w:t>
    </w:r>
    <w:r w:rsidR="00C15FBF">
      <w:rPr>
        <w:rStyle w:val="Seitenzahl"/>
      </w:rPr>
      <w:fldChar w:fldCharType="end"/>
    </w:r>
    <w:r>
      <w:rPr>
        <w:rStyle w:val="Seitenzahl"/>
      </w:rPr>
      <w:t xml:space="preserve"> -</w:t>
    </w:r>
  </w:p>
  <w:p w:rsidR="00784422" w:rsidRDefault="0078442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22" w:rsidRDefault="00784422">
    <w:pPr>
      <w:pStyle w:val="Kopfzeile"/>
      <w:tabs>
        <w:tab w:val="clear" w:pos="4536"/>
        <w:tab w:val="clear" w:pos="9072"/>
        <w:tab w:val="center" w:pos="4820"/>
        <w:tab w:val="right" w:pos="9639"/>
      </w:tabs>
      <w:spacing w:line="240" w:lineRule="exact"/>
      <w:jc w:val="center"/>
      <w:rPr>
        <w:sz w:val="16"/>
      </w:rPr>
    </w:pPr>
    <w:r>
      <w:rPr>
        <w:sz w:val="16"/>
      </w:rPr>
      <w:t xml:space="preserve">- </w:t>
    </w:r>
    <w:r w:rsidR="00C15FBF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C15FBF">
      <w:rPr>
        <w:rStyle w:val="Seitenzahl"/>
        <w:sz w:val="16"/>
      </w:rPr>
      <w:fldChar w:fldCharType="separate"/>
    </w:r>
    <w:r w:rsidR="008730A5">
      <w:rPr>
        <w:rStyle w:val="Seitenzahl"/>
        <w:noProof/>
        <w:sz w:val="16"/>
      </w:rPr>
      <w:t>2</w:t>
    </w:r>
    <w:r w:rsidR="00C15FBF"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0"/>
    <w:rsid w:val="000622D6"/>
    <w:rsid w:val="000656AE"/>
    <w:rsid w:val="00066766"/>
    <w:rsid w:val="00091C00"/>
    <w:rsid w:val="000E142B"/>
    <w:rsid w:val="000F0311"/>
    <w:rsid w:val="000F1145"/>
    <w:rsid w:val="000F3CE5"/>
    <w:rsid w:val="001304C0"/>
    <w:rsid w:val="00144040"/>
    <w:rsid w:val="00162F84"/>
    <w:rsid w:val="001D34AE"/>
    <w:rsid w:val="001D50D0"/>
    <w:rsid w:val="002C485A"/>
    <w:rsid w:val="00300BE3"/>
    <w:rsid w:val="00325A2B"/>
    <w:rsid w:val="003604D9"/>
    <w:rsid w:val="003E5B36"/>
    <w:rsid w:val="0043152B"/>
    <w:rsid w:val="00477881"/>
    <w:rsid w:val="005209D5"/>
    <w:rsid w:val="005447B2"/>
    <w:rsid w:val="00602A92"/>
    <w:rsid w:val="006545D8"/>
    <w:rsid w:val="006B7A04"/>
    <w:rsid w:val="006D2F72"/>
    <w:rsid w:val="006D45F3"/>
    <w:rsid w:val="00731A2B"/>
    <w:rsid w:val="007722F2"/>
    <w:rsid w:val="00784422"/>
    <w:rsid w:val="007C22DA"/>
    <w:rsid w:val="007D2041"/>
    <w:rsid w:val="008056F8"/>
    <w:rsid w:val="008249BB"/>
    <w:rsid w:val="008458D1"/>
    <w:rsid w:val="008730A5"/>
    <w:rsid w:val="00977A62"/>
    <w:rsid w:val="009A7D0B"/>
    <w:rsid w:val="009F731D"/>
    <w:rsid w:val="00A734A1"/>
    <w:rsid w:val="00AC707C"/>
    <w:rsid w:val="00B26210"/>
    <w:rsid w:val="00B371D6"/>
    <w:rsid w:val="00BF4845"/>
    <w:rsid w:val="00C15FBF"/>
    <w:rsid w:val="00CD170B"/>
    <w:rsid w:val="00CE4896"/>
    <w:rsid w:val="00D00D67"/>
    <w:rsid w:val="00D14FD3"/>
    <w:rsid w:val="00D73EEA"/>
    <w:rsid w:val="00D762D5"/>
    <w:rsid w:val="00DF56C4"/>
    <w:rsid w:val="00E21EA5"/>
    <w:rsid w:val="00E31AB2"/>
    <w:rsid w:val="00EA2ABB"/>
    <w:rsid w:val="00F4303C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23E4E"/>
  <w15:docId w15:val="{27CB7044-1CBB-4663-AACB-070AB17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85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C485A"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2C485A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C485A"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C48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485A"/>
    <w:pPr>
      <w:spacing w:line="240" w:lineRule="exact"/>
      <w:jc w:val="center"/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  <w:semiHidden/>
    <w:rsid w:val="002C485A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2C485A"/>
    <w:rPr>
      <w:color w:val="0000FF"/>
      <w:u w:val="single"/>
    </w:rPr>
  </w:style>
  <w:style w:type="paragraph" w:styleId="Textkrper">
    <w:name w:val="Body Text"/>
    <w:basedOn w:val="Standard"/>
    <w:semiHidden/>
    <w:rsid w:val="002C485A"/>
    <w:pPr>
      <w:spacing w:line="360" w:lineRule="exact"/>
    </w:pPr>
  </w:style>
  <w:style w:type="paragraph" w:styleId="Aufzhlungszeichen">
    <w:name w:val="List Bullet"/>
    <w:basedOn w:val="Standard"/>
    <w:semiHidden/>
    <w:rsid w:val="002C485A"/>
    <w:pPr>
      <w:ind w:left="283" w:hanging="283"/>
    </w:pPr>
  </w:style>
  <w:style w:type="character" w:styleId="BesuchterLink">
    <w:name w:val="FollowedHyperlink"/>
    <w:basedOn w:val="Absatz-Standardschriftart"/>
    <w:semiHidden/>
    <w:rsid w:val="002C485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5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2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1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.bwl.net\JUS-users\LGE-Offenburg\WeckertE\Pers&#246;nliche%20Ablage\Pressesprecherin\Medieninform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7C0F38C1-D116-49EB-842F-5B17F8AD7ED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Medieninformation.dotx</Template>
  <TotalTime>0</TotalTime>
  <Pages>2</Pages>
  <Words>288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Staatsanwaltschaft Pforzheim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Weckert, Eva (LG Offenburg)</dc:creator>
  <cp:lastModifiedBy>Weckert, Eva (LG Offenburg)</cp:lastModifiedBy>
  <cp:revision>7</cp:revision>
  <cp:lastPrinted>2017-11-14T18:07:00Z</cp:lastPrinted>
  <dcterms:created xsi:type="dcterms:W3CDTF">2020-11-16T07:09:00Z</dcterms:created>
  <dcterms:modified xsi:type="dcterms:W3CDTF">2020-11-16T14:20:00Z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\EinschreibenFrauBeate MustermannMusterstraße 2012345 Musterhausen</vt:lpwstr>
  </property>
</Properties>
</file>